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Tier 3 Infrastructure</w:t>
      </w:r>
    </w:p>
    <w:p>
      <w:pPr>
        <w:pStyle w:val="Heading2"/>
        <w:spacing w:lineRule="auto"/>
      </w:pPr>
      <w:r>
        <w:rPr/>
        <w:t xml:space="preserve">TLDR</w:t>
      </w:r>
    </w:p>
    <w:p>
      <w:pPr>
        <w:spacing w:lineRule="auto"/>
      </w:pPr>
      <w:r>
        <w:rPr>
          <w:b/>
        </w:rPr>
        <w:t xml:space="preserve">Goal:</w:t>
      </w:r>
      <w:r>
        <w:rPr/>
        <w:t xml:space="preserve"> Validate whether Tier 3-grade infrastructure resilience — continuous power, connectivity, and automation survivable through a Category 4 hurricane — is technically achievable and financially justifiable for Ti Kaye's 33-villa property.</w:t>
      </w:r>
    </w:p>
    <w:p>
      <w:pPr>
        <w:spacing w:lineRule="auto"/>
      </w:pPr>
      <w:r>
        <w:rPr>
          <w:b/>
        </w:rPr>
        <w:t xml:space="preserve">Conclusion:</w:t>
      </w:r>
      <w:r>
        <w:rPr/>
        <w:t xml:space="preserve"> Achievable. The Victron + Node-RED + Starlink stack is the right architecture with real hurricane validation. The financials are harder than early estimates: true all-in CAPEX is $432k–671k, and ROI requires a 10–20% rate premium to work. Grant funding is essential to close the battery cost gap.</w:t>
      </w:r>
    </w:p>
    <w:p>
      <w:pPr>
        <w:spacing w:lineRule="auto"/>
      </w:pPr>
      <w:r>
        <w:rPr>
          <w:b/>
        </w:rPr>
        <w:t xml:space="preserve">Next steps:</w:t>
      </w:r>
      <w:r>
        <w:rPr/>
        <w:t xml:space="preserve"> Two of the three Tier 3 pillars — connectivity and intelligence — can be prototyped now for under $500. Starlink implements the full connectivity pillar for ~$2,500. A single-villa Victron pilot validates the power system for ~$6–8k. The capital raise funds solar and batteries at scale. Everything else starts immediately.</w:t>
      </w:r>
    </w:p>
    <w:p>
      <w:pPr>
        <w:spacing w:lineRule="auto"/>
      </w:pPr>
      <w:r>
        <w:rPr>
          <w:b/>
        </w:rPr>
        <w:t xml:space="preserve">Immediate requirements:</w:t>
      </w:r>
      <w:r>
        <w:rPr/>
        <w:t xml:space="preserve"> ~$10,000–15,000 to run Phase 0 (see below). Starlink ordered this week. Raspberry Pi running Node-RED within days. LoRa mesh deployed across the property within two weeks. Single-villa Victron pilot hardware ordered. Grant applications drafted in parallel using Phase 0 data as proof of execution.</w:t>
      </w:r>
    </w:p>
    <w:p>
      <w:pPr>
        <w:pStyle w:val="Heading2"/>
        <w:spacing w:lineRule="auto"/>
      </w:pPr>
      <w:r>
        <w:rPr/>
        <w:t xml:space="preserve">Technical Validation</w:t>
      </w:r>
    </w:p>
    <w:p>
      <w:pPr>
        <w:pStyle w:val="Heading3"/>
        <w:spacing w:lineRule="auto"/>
      </w:pPr>
      <w:r>
        <w:rPr/>
        <w:t xml:space="preserve">Victron Energy Systems</w:t>
      </w:r>
    </w:p>
    <w:p>
      <w:pPr>
        <w:pStyle w:val="Heading4"/>
        <w:spacing w:lineRule="auto"/>
      </w:pPr>
      <w:r>
        <w:rPr/>
        <w:t xml:space="preserve">Proven Resilience Credentials</w:t>
      </w:r>
    </w:p>
    <w:p>
      <w:pPr>
        <w:spacing w:lineRule="auto"/>
      </w:pPr>
      <w:r>
        <w:rPr/>
        <w:t xml:space="preserve">Post-Hurricane Maria (Puerto Rico, 2017): Victron systems achieved operational status in 24–48 hours while utility restoration required months. Key characteristics validated:</w:t>
      </w:r>
    </w:p>
    <w:p>
      <w:pPr>
        <w:numPr>
          <w:ilvl w:val="0"/>
          <w:numId w:val="1"/>
        </w:numPr>
        <w:spacing w:lineRule="auto"/>
      </w:pPr>
      <w:r>
        <w:rPr/>
        <w:t xml:space="preserve">Rapid commissioning versus centralized infrastructure</w:t>
      </w:r>
    </w:p>
    <w:p>
      <w:pPr>
        <w:numPr>
          <w:ilvl w:val="0"/>
          <w:numId w:val="1"/>
        </w:numPr>
        <w:spacing w:lineRule="auto"/>
      </w:pPr>
      <w:r>
        <w:rPr/>
        <w:t xml:space="preserve">Graceful degradation (component failures isolated)</w:t>
      </w:r>
    </w:p>
    <w:p>
      <w:pPr>
        <w:numPr>
          <w:ilvl w:val="0"/>
          <w:numId w:val="1"/>
        </w:numPr>
        <w:spacing w:lineRule="auto"/>
      </w:pPr>
      <w:r>
        <w:rPr/>
        <w:t xml:space="preserve">Field repairability with standardized parts</w:t>
      </w:r>
    </w:p>
    <w:p>
      <w:pPr>
        <w:numPr>
          <w:ilvl w:val="0"/>
          <w:numId w:val="1"/>
        </w:numPr>
        <w:spacing w:lineRule="auto"/>
      </w:pPr>
      <w:r>
        <w:rPr/>
        <w:t xml:space="preserve">Salt air tolerance for coastal environments</w:t>
      </w:r>
    </w:p>
    <w:p>
      <w:pPr>
        <w:pStyle w:val="Heading4"/>
        <w:spacing w:lineRule="auto"/>
      </w:pPr>
      <w:r>
        <w:rPr/>
        <w:t xml:space="preserve">48V DC Architecture Advantages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Parameter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48V Specification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 at Resort Scale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Current at 10kW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208A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Manageable with 2 AWG conductors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Safety classification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Extra-low voltage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Simplified installation, no specialized certification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Victron compatibility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 range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MultiPlus-II, Quattro, MPPT integration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Modularity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Building-block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Phased deployment across 33 villas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Key Components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Component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Function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Resort Application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Quattro Inverter-Chargers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Dual AC input, PowerAssist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Automatic grid/generator selection; battery supplements peak loads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BYD Battery-Box Premium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LiFePO4 chemistry, 10-year lifecycle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400–600 kWh storage, requires active thermal management (20–30°C)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SmartSolar MPPT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98%+ efficiency, cloud-aware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150–250V input ranges, sub-array optimization for shading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Cerbo GX Integration</w:t>
      </w:r>
    </w:p>
    <w:p>
      <w:pPr>
        <w:spacing w:lineRule="auto"/>
      </w:pPr>
      <w:r>
        <w:rPr/>
        <w:t xml:space="preserve">Protocol support: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VE.Direct/VE.Can:</w:t>
      </w:r>
      <w:r>
        <w:rPr/>
        <w:t xml:space="preserve"> Native device communication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Modbus TCP:</w:t>
      </w:r>
      <w:r>
        <w:rPr/>
        <w:t xml:space="preserve"> Industrial standard register access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MQTT:</w:t>
      </w:r>
      <w:r>
        <w:rPr/>
        <w:t xml:space="preserve"> Event-driven lightweight messaging</w:t>
      </w:r>
    </w:p>
    <w:p>
      <w:pPr>
        <w:spacing w:lineRule="auto"/>
      </w:pPr>
      <w:r>
        <w:rPr/>
        <w:t xml:space="preserve">Local API access ensures post-storm visibility without cloud dependency.</w:t>
      </w:r>
    </w:p>
    <w:p>
      <w:pPr>
        <w:pStyle w:val="Heading3"/>
        <w:spacing w:lineRule="auto"/>
      </w:pPr>
      <w:r>
        <w:rPr/>
        <w:t xml:space="preserve">Node-RED Automation</w:t>
      </w:r>
    </w:p>
    <w:p>
      <w:pPr>
        <w:pStyle w:val="Heading4"/>
        <w:spacing w:lineRule="auto"/>
      </w:pPr>
      <w:r>
        <w:rPr/>
        <w:t xml:space="preserve">Architecture Fit</w:t>
      </w:r>
    </w:p>
    <w:p>
      <w:pPr>
        <w:spacing w:lineRule="auto"/>
      </w:pPr>
      <w:r>
        <w:rPr/>
        <w:t xml:space="preserve">Event-driven flow programming handles: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Safety protection:</w:t>
      </w:r>
      <w:r>
        <w:rPr/>
        <w:t xml:space="preserve"> Battery SOC limits, overcurrent response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Load shedding:</w:t>
      </w:r>
      <w:r>
        <w:rPr/>
        <w:t xml:space="preserve"> Priority-based by villa occupancy (P0 Life Safety through P4 Discretionary)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Generator optimization:</w:t>
      </w:r>
      <w:r>
        <w:rPr/>
        <w:t xml:space="preserve"> Auto-start/stop based on SOC thresholds and solar forecasts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State persistence:</w:t>
      </w:r>
      <w:r>
        <w:rPr/>
        <w:t xml:space="preserve"> File-based or Redis context storage survives restarts</w:t>
      </w:r>
    </w:p>
    <w:p>
      <w:pPr>
        <w:pStyle w:val="Heading4"/>
        <w:spacing w:lineRule="auto"/>
      </w:pPr>
      <w:r>
        <w:rPr/>
        <w:t xml:space="preserve">Deployment Models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Architecture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Resilience Rating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Characteristics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Centralized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Medium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 point of failure; network dependent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Distributed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Per-villa instances; no central failure mode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Hybrid (Recommended)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Very High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Central coordination + local critical functions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Scalability for 33 Villas</w:t>
      </w:r>
    </w:p>
    <w:p>
      <w:pPr>
        <w:spacing w:lineRule="auto"/>
      </w:pPr>
      <w:r>
        <w:rPr/>
        <w:t xml:space="preserve">Communication layers, ordered by resilience: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Primary:</w:t>
      </w:r>
      <w:r>
        <w:rPr/>
        <w:t xml:space="preserve"> Resort fiber/Cat6 LAN (high bandwidth, vulnerable)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Secondary:</w:t>
      </w:r>
      <w:r>
        <w:rPr/>
        <w:t xml:space="preserve"> WiFi mesh (moderate resilience)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Tertiary:</w:t>
      </w:r>
      <w:r>
        <w:rPr/>
        <w:t xml:space="preserve"> LoRa mesh (battery-powered, long range, very high resilience)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Emergency:</w:t>
      </w:r>
      <w:r>
        <w:rPr/>
        <w:t xml:space="preserve"> Starlink direct (villa terminals, ultimate backup)</w:t>
      </w:r>
    </w:p>
    <w:p>
      <w:pPr>
        <w:pStyle w:val="Heading3"/>
        <w:spacing w:lineRule="auto"/>
      </w:pPr>
      <w:r>
        <w:rPr/>
        <w:t xml:space="preserve">Starlink Connectivity</w:t>
      </w:r>
    </w:p>
    <w:p>
      <w:pPr>
        <w:pStyle w:val="Heading4"/>
        <w:spacing w:lineRule="auto"/>
      </w:pPr>
      <w:r>
        <w:rPr/>
        <w:t xml:space="preserve">Technical Specifications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Parameter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Application Enablement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Latency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25–50ms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VoIP, video conferencing, remote desktop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Throughput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50–220 Mbps down / 10–25 Mbps up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4K streams, backup operations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Flat HP Terminal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IP56, 60°C rating, 280 km/h wind survival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 4–5 hurricane tolerance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Power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50–75W continuous / 110–150W peak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3.6–9.0 kWh daily consumption</w:t>
            </w:r>
          </w:p>
        </w:tc>
      </w:tr>
    </w:tbl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Resilience Advantages</w:t>
      </w:r>
    </w:p>
    <w:p>
      <w:pPr>
        <w:spacing w:lineRule="auto"/>
      </w:pPr>
      <w:r>
        <w:rPr>
          <w:b/>
        </w:rPr>
        <w:t xml:space="preserve">No terrestrial dependency:</w:t>
      </w:r>
      <w:r>
        <w:rPr/>
        <w:t xml:space="preserve"> Bypasses fiber pole damage (2–8 week recovery) and cellular tower failures (1–6 weeks). Restores connectivity within minutes of power application.</w:t>
      </w:r>
    </w:p>
    <w:p>
      <w:pPr>
        <w:spacing w:lineRule="auto"/>
      </w:pPr>
      <w:r>
        <w:rPr>
          <w:b/>
        </w:rPr>
        <w:t xml:space="preserve">Rapid redeployment:</w:t>
      </w:r>
      <w:r>
        <w:rPr/>
        <w:t xml:space="preserve"> Mobile terminals deploy in 5–15 minutes versus 30–60 minutes for fixed installations.</w:t>
      </w:r>
    </w:p>
    <w:p>
      <w:pPr>
        <w:pStyle w:val="Heading2"/>
        <w:spacing w:lineRule="auto"/>
      </w:pPr>
      <w:r>
        <w:rPr/>
        <w:t xml:space="preserve">System Architecture</w:t>
      </w:r>
    </w:p>
    <w:p>
      <w:pPr>
        <w:pStyle w:val="Heading3"/>
        <w:spacing w:lineRule="auto"/>
      </w:pPr>
      <w:r>
        <w:rPr/>
        <w:t xml:space="preserve">Power Flow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Layer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Function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Generation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150–200 kWp solar (hybrid rooftop/ground)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Primary source, distributed resilience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Storage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400–600 kWh LiFePO4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4–6 hour autonomy at full load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Synchronized three-phase (3× 10kVA per phase, N+1)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Concurrent maintainability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Backup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50–75 kW diesel generator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&gt;48 hour extended outages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rFonts w:ascii="Courier" w:hAnsi="Courier"/>
        </w:rPr>
        <w:t xml:space="preserve">Solar/Generator → MPPT/Quattro → 48V DC Bus → Battery Bank → Inverter → Resort Distribution </w:t>
      </w:r>
    </w:p>
    <w:p>
      <w:pPr>
        <w:pStyle w:val="Heading3"/>
        <w:spacing w:lineRule="auto"/>
      </w:pPr>
      <w:r>
        <w:rPr/>
        <w:t xml:space="preserve">Control Logic</w:t>
      </w:r>
    </w:p>
    <w:p>
      <w:pPr>
        <w:spacing w:lineRule="auto"/>
      </w:pPr>
      <w:r>
        <w:rPr>
          <w:b/>
        </w:rPr>
        <w:t xml:space="preserve">Load shedding priorities: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P0 — Life safety</w:t>
      </w:r>
      <w:r>
        <w:rPr/>
        <w:t xml:space="preserve"> (emergency lighting, medical): Never shed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P1 — Guest critical</w:t>
      </w:r>
      <w:r>
        <w:rPr/>
        <w:t xml:space="preserve"> (occupied villa HVAC minimums, refrigeration): Shed at SOC &lt;20%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P2 — Guest comfort</w:t>
      </w:r>
      <w:r>
        <w:rPr/>
        <w:t xml:space="preserve"> (unoccupied villas, pool heating): Shed at SOC &lt;30%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P3 — Operations</w:t>
      </w:r>
      <w:r>
        <w:rPr/>
        <w:t xml:space="preserve"> (office, non-urgent laundry): Shed at SOC &lt;40%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P4 — Discretionary</w:t>
      </w:r>
      <w:r>
        <w:rPr/>
        <w:t xml:space="preserve"> (fountains, landscape lighting): Shed at SOC &lt;50%</w:t>
      </w:r>
    </w:p>
    <w:p>
      <w:pPr>
        <w:spacing w:lineRule="auto"/>
      </w:pPr>
      <w:r>
        <w:rPr>
          <w:b/>
        </w:rPr>
        <w:t xml:space="preserve">Generator dispatch: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Emergency:</w:t>
      </w:r>
      <w:r>
        <w:rPr/>
        <w:t xml:space="preserve"> SOC &lt;15% — immediate start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Conservative:</w:t>
      </w:r>
      <w:r>
        <w:rPr/>
        <w:t xml:space="preserve"> SOC &lt;25% + declining trend — prevent deep discharge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Economic:</w:t>
      </w:r>
      <w:r>
        <w:rPr/>
        <w:t xml:space="preserve"> SOC &lt;35% + poor next-day forecast — minimize runtime</w:t>
      </w:r>
    </w:p>
    <w:p>
      <w:pPr>
        <w:pStyle w:val="Heading2"/>
        <w:spacing w:lineRule="auto"/>
      </w:pPr>
      <w:r>
        <w:rPr/>
        <w:t xml:space="preserve">Financial Analysis</w:t>
      </w:r>
    </w:p>
    <w:p>
      <w:pPr>
        <w:pStyle w:val="Heading3"/>
        <w:spacing w:lineRule="auto"/>
      </w:pPr>
      <w:r>
        <w:rPr/>
        <w:t xml:space="preserve">Capital Expenditure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Component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Original Estimate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Revised Estimate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Variance Driver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Solar PV (150 kWp)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$33,000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$55,500–74,000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Installation, racking, electrical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Battery (400 kWh)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$27,000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$180,000–240,000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LFP system pricing, BMS, thermal mgmt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Inverter/Chargers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$12,000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$35,000–55,000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Three-phase synthesis, redundancy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Installation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$45–75,000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$50,000–90,000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Island labor premium, hurricane hardening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Contingency (15%)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$20–30,000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$50,000–70,000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Design development, supply chain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Total revised CAPEX: $432,600–671,550</w:t>
      </w:r>
    </w:p>
    <w:p>
      <w:pPr>
        <w:pStyle w:val="Heading3"/>
        <w:spacing w:lineRule="auto"/>
      </w:pPr>
      <w:r>
        <w:rPr/>
        <w:t xml:space="preserve">Operational Expenditure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Annual Cost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Basis</w:t>
            </w:r>
          </w:p>
        </w:tc>
      </w:t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Maintenance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$22,000–55,000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Starlink service tier ($9–30k), Victron firmware, thermal management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Technical Staffing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$30,000–50,000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Hybrid: remote support + local training + regional contract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Insurance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$8,000–12,000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Specialized renewable energy coverage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Fuel/Generator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$5,000–10,000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&lt;200 hours runtime target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Return on Investment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Scenario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Net Annual Benefit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Simple Payback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Viability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Conservative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$23,000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24 years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viable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$85,500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6.5 years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Viable with premium pricing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Optimistic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$145,000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3.8 years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Strong returns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Critical success factors: 10–20% rate premium realization, grant funding, active thermal management for battery longevity.</w:t>
      </w:r>
    </w:p>
    <w:p>
      <w:pPr>
        <w:pStyle w:val="Heading2"/>
        <w:spacing w:lineRule="auto"/>
      </w:pPr>
      <w:r>
        <w:rPr/>
        <w:t xml:space="preserve">Risk Assessment</w:t>
      </w:r>
    </w:p>
    <w:p>
      <w:pPr>
        <w:pStyle w:val="Heading3"/>
        <w:spacing w:lineRule="auto"/>
      </w:pPr>
      <w:r>
        <w:rPr/>
        <w:t xml:space="preserve">Natural Hazards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Hazard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Probability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Mitigation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 3–4 Hurricane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10–15% annual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Moderate–High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Engineered mounting, 3m+ elevation, rapid securing protocols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 5 Hurricane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2–5% annual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Distributed architecture, spare inventory, 48–72 hour recovery target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Storm Surge &gt;3m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5–10% annual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&gt;5m elevation for critical systems, flood-resistant enclosures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Single Points of Failure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Failure Point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Current State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Required Enhancement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Investment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Central Node-RED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 instance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FlowFuse HA (hot-standby, auto-failover)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$8,000–15,000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Starlink Terminal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Single/dual unorchestrated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SD-WAN with 4G/5G terrestrial backup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$5,000–10,000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Battery Thermal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Distributed strings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Cell-level monitoring, string isolation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$5,000–10,000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Implementation Roadmap</w:t>
      </w:r>
    </w:p>
    <w:p>
      <w:pPr>
        <w:pStyle w:val="Heading3"/>
        <w:spacing w:lineRule="auto"/>
      </w:pPr>
      <w:r>
        <w:rPr/>
        <w:t xml:space="preserve">Phase 0 — Prototype While Raising Capital (Now, ~$10,000–15,000)</w:t>
      </w:r>
    </w:p>
    <w:p>
      <w:pPr>
        <w:spacing w:lineRule="auto"/>
      </w:pPr>
      <w:r>
        <w:rPr/>
        <w:t xml:space="preserve">The expensive part of Tier 3 is solar panels and battery banks. Everything else — the intelligence layer, the connectivity layer, and a single-villa power validation — can be stood up immediately for a fraction of the full budget. Phase 0 proves the stack works on-site, generates real data for grant applications, and builds the team's operational competency before a dollar of capital hits the ground.</w:t>
      </w:r>
    </w:p>
    <w:p>
      <w:pPr>
        <w:spacing w:lineRule="auto"/>
      </w:pPr>
      <w:r>
        <w:rPr>
          <w:b/>
        </w:rPr>
        <w:t xml:space="preserve">Connectivity pillar — Starlink (~$2,500 + $250/mo)</w:t>
      </w:r>
    </w:p>
    <w:p>
      <w:pPr>
        <w:spacing w:lineRule="auto"/>
      </w:pPr>
      <w:r>
        <w:rPr/>
        <w:t xml:space="preserve">Order a Starlink Maritime Performance Kit this week. Hardware arrives in days. One installation, one activation, and the entire connectivity pillar of Tier 3 is live. Latency: 25–50ms. Throughput: 150+ Mbps down. The Flat HP terminal is IP56-rated and survives 280 km/h winds — Category 4 tolerant from day one. Can be offset by reselling guest WiFi as a villa amenity.</w:t>
      </w:r>
    </w:p>
    <w:p>
      <w:pPr>
        <w:spacing w:lineRule="auto"/>
      </w:pPr>
      <w:r>
        <w:rPr>
          <w:b/>
        </w:rPr>
        <w:t xml:space="preserve">Intelligence pillar — Node-RED on Raspberry Pi (~$150)</w:t>
      </w:r>
    </w:p>
    <w:p>
      <w:pPr>
        <w:spacing w:lineRule="auto"/>
      </w:pPr>
      <w:r>
        <w:rPr/>
        <w:t xml:space="preserve">A Raspberry Pi 5 running Node-RED builds the full automation brain at near-zero cost. Before any Victron hardware exists, the team can wire real load-shedding logic, generator dispatch rules, and monitoring dashboards against simulated data. When hardware arrives, flows transfer 1:1. Free Node-RED community nodes for Victron/Cerbo GX integration already exist.</w:t>
      </w:r>
    </w:p>
    <w:p>
      <w:pPr>
        <w:spacing w:lineRule="auto"/>
      </w:pPr>
      <w:r>
        <w:rPr>
          <w:b/>
        </w:rPr>
        <w:t xml:space="preserve">Sensor mesh — Meshtastic LoRa (~$115)</w:t>
      </w:r>
    </w:p>
    <w:p>
      <w:pPr>
        <w:spacing w:lineRule="auto"/>
      </w:pPr>
      <w:r>
        <w:rPr/>
        <w:t xml:space="preserve">Five Heltec V3 LoRa nodes deployed across the property for ~$115 total. Each node runs on AA batteries for months. The mesh operates on unlicensed 915 MHz spectrum — no permits, no infrastructure dependency. Delivers: distributed temperature and solar irradiance sensing, emergency communications if Starlink and grid both fail, and discrete control signaling to remote equipment (generator start/stop). Integrates directly into Node-RED via MQTT bridge.</w:t>
      </w:r>
    </w:p>
    <w:p>
      <w:pPr>
        <w:spacing w:lineRule="auto"/>
      </w:pPr>
      <w:r>
        <w:rPr>
          <w:b/>
        </w:rPr>
        <w:t xml:space="preserve">Power pillar validation — Single-villa Victron pilot (~$6,000–8,000)</w:t>
      </w:r>
    </w:p>
    <w:p>
      <w:pPr>
        <w:spacing w:lineRule="auto"/>
      </w:pPr>
      <w:r>
        <w:rPr/>
        <w:t xml:space="preserve">One villa fitted with a Victron Multiplus II 48/3000 inverter-charger + 5kWh LiFePO4 battery + SmartSolar MPPT + Cerbo GX. This proves real-world battery degradation behavior in 28–32°C Caribbean heat, actual peak draw handling (AC startup), Cerbo GX + Node-RED integration reliability, and load-shedding effectiveness. It also generates 6 months of real performance data — the most credible input any grant application can include.</w:t>
      </w:r>
    </w:p>
    <w:p>
      <w:pPr>
        <w:spacing w:lineRule="auto"/>
      </w:pPr>
      <w:r>
        <w:rPr>
          <w:b/>
        </w:rPr>
        <w:t xml:space="preserve">Site survey and NREL modeling (~$3,000–5,000)</w:t>
      </w:r>
    </w:p>
    <w:p>
      <w:pPr>
        <w:spacing w:lineRule="auto"/>
      </w:pPr>
      <w:r>
        <w:rPr/>
        <w:t xml:space="preserve">Commission a professional solar irradiance survey, structural load analysis, and 30-day continuous electrical load audit. Run NREL PVWatts and SAMA free optimization tools against the results. This work is required before any capital can be deployed intelligently anyway — and its outputs feed directly into grant applications as required technical documentation.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Timeline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It Proves</w:t>
            </w:r>
          </w:p>
        </w:tc>
      </w:tr>
      <w:tblGrid>
        <w:gridCol w:w="2160"/>
        <w:gridCol w:w="2160"/>
        <w:gridCol w:w="2160"/>
        <w:gridCol w:w="216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Starlink Maritime deployment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$2,500 + $250/mo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 weeks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Full connectivity pillar live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Raspberry Pi + Node-RED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$150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Days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Automation logic, dispatch, dashboards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Meshtastic LoRa mesh (5 nodes)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$115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 week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Sensor network, emergency comms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Single-villa Victron pilot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$6,000–8,000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8 weeks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Power system integration, thermal behavior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Site survey + NREL modeling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$3,000–5,000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 weeks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Real irradiance/load data, grant inputs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Phase 1 — Core Infrastructure (Months 1–6)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Scope:</w:t>
      </w:r>
      <w:r>
        <w:rPr/>
        <w:t xml:space="preserve"> 10-villa pilot, 40–60 kWp solar, 100–150 kWh storage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Investment:</w:t>
      </w:r>
      <w:r>
        <w:rPr/>
        <w:t xml:space="preserve"> $120,000–180,000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Success criteria:</w:t>
      </w:r>
      <w:r>
        <w:rPr/>
        <w:t xml:space="preserve"> &gt;90% design production, 4-hour autonomy demonstrated</w:t>
      </w:r>
    </w:p>
    <w:p>
      <w:pPr>
        <w:pStyle w:val="Heading3"/>
        <w:spacing w:lineRule="auto"/>
      </w:pPr>
      <w:r>
        <w:rPr/>
        <w:t xml:space="preserve">Phase 2 — Full Rollout (Months 7–12)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Scope:</w:t>
      </w:r>
      <w:r>
        <w:rPr/>
        <w:t xml:space="preserve"> 33 villas, 150–200 kWp total, generator integration, advanced automation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Investment:</w:t>
      </w:r>
      <w:r>
        <w:rPr/>
        <w:t xml:space="preserve"> $200,000–300,000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Success criteria:</w:t>
      </w:r>
      <w:r>
        <w:rPr/>
        <w:t xml:space="preserve"> &gt;85% solar fraction, &lt;30 second generator start-to-load</w:t>
      </w:r>
    </w:p>
    <w:p>
      <w:pPr>
        <w:pStyle w:val="Heading3"/>
        <w:spacing w:lineRule="auto"/>
      </w:pPr>
      <w:r>
        <w:rPr/>
        <w:t xml:space="preserve">Phase 3 — Resilience Certification (Months 13–18)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Scope:</w:t>
      </w:r>
      <w:r>
        <w:rPr/>
        <w:t xml:space="preserve"> Starlink SD-WAN, Node-RED HA, staff certification, CHTA/GSTC validation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Investment:</w:t>
      </w:r>
      <w:r>
        <w:rPr/>
        <w:t xml:space="preserve"> $80,000–120,000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Success criteria:</w:t>
      </w:r>
      <w:r>
        <w:rPr/>
        <w:t xml:space="preserve"> 99.9% availability demonstrated, &lt;5 minute automation failover</w:t>
      </w:r>
    </w:p>
    <w:p>
      <w:pPr>
        <w:pStyle w:val="Heading2"/>
        <w:spacing w:lineRule="auto"/>
      </w:pPr>
      <w:r>
        <w:rPr/>
        <w:t xml:space="preserve">Recommendations</w:t>
      </w:r>
    </w:p>
    <w:p>
      <w:pPr>
        <w:spacing w:lineRule="auto"/>
      </w:pPr>
      <w:r>
        <w:rPr>
          <w:b/>
        </w:rPr>
        <w:t xml:space="preserve">Start Phase 0 this week.</w:t>
      </w:r>
      <w:r>
        <w:rPr/>
        <w:t xml:space="preserve"> Starlink, Node-RED, and LoRa mesh can all be ordered and running within two weeks. These are not preparatory steps — they are real Tier 3 infrastructure, deployed ahead of the capital raise.</w:t>
      </w:r>
    </w:p>
    <w:p>
      <w:pPr>
        <w:spacing w:lineRule="auto"/>
      </w:pPr>
      <w:r>
        <w:rPr>
          <w:b/>
        </w:rPr>
        <w:t xml:space="preserve">Define the SLA now.</w:t>
      </w:r>
      <w:r>
        <w:rPr/>
        <w:t xml:space="preserve"> Adopt 99.9% availability as the minimum viable target before engaging any installer or funder. Position the property as "Tier 3-inspired" — not unqualified Tier III.</w:t>
      </w:r>
    </w:p>
    <w:p>
      <w:pPr>
        <w:spacing w:lineRule="auto"/>
      </w:pPr>
      <w:r>
        <w:rPr>
          <w:b/>
        </w:rPr>
        <w:t xml:space="preserve">Let Phase 0 data fund Phase 1.</w:t>
      </w:r>
      <w:r>
        <w:rPr/>
        <w:t xml:space="preserve"> Six months of real single-villa Victron performance data, a professional site survey, and NREL optimization outputs are the strongest possible grant application. Target Caribbean Development Bank, Green Climate Fund, and bilateral climate finance. The battery cost gap ($160–240k above original estimates) is the make-or-break variable — it must be closed with grants, not equity.</w:t>
      </w:r>
    </w:p>
    <w:p>
      <w:pPr>
        <w:spacing w:lineRule="auto"/>
      </w:pPr>
      <w:r>
        <w:rPr>
          <w:b/>
        </w:rPr>
        <w:t xml:space="preserve">Validate N+1 redundancy in Phase 3.</w:t>
      </w:r>
      <w:r>
        <w:rPr/>
        <w:t xml:space="preserve"> FlowFuse HA for Node-RED and SD-WAN for Starlink must be in place before certification.</w:t>
      </w:r>
    </w:p>
    <w:p>
      <w:pPr>
        <w:spacing w:lineRule="auto"/>
      </w:pPr>
      <w:r>
        <w:rPr>
          <w:b/>
        </w:rPr>
        <w:t xml:space="preserve">Deploy guest-facing dashboards.</w:t>
      </w:r>
      <w:r>
        <w:rPr/>
        <w:t xml:space="preserve"> Real-time solar fraction and battery status visible in-room. Transforms the infrastructure investment into a guest-facing sustainability story.</w:t>
      </w:r>
    </w:p>
    <w:p>
      <w:pPr>
        <w:ind w:left="284"/>
        <w:jc w:val="both"/>
        <w:spacing w:lineRule="auto"/>
      </w:pPr>
      <w:r>
        <w:rPr/>
        <w:t xml:space="preserve">Properties with demonstrated Tier 3 resilience command 10–20% rate premiums and maintain occupancy during regional outages when competitors close. Documented resilience also qualifies for preferred insurance risk classification — potentially reducing premiums 15–25%.</w:t>
      </w:r>
    </w:p>
    <w:p>
      <w:pPr>
        <w:spacing w:lineRule="auto"/>
      </w:pPr>
      <w:r>
        <w:rPr/>
        <w:t xml:space="preserve">March 2026. Assumes XCD/USD peg stability (2.70:1). Import duty exemption for renewable energy equipment recommended to reduce landed costs 25–40%.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3 Infrastructure</dc:title>
  <dc:subject/>
  <dc:creator>html-to-docx</dc:creator>
  <cp:keywords>html-to-docx</cp:keywords>
  <dc:description/>
  <cp:lastModifiedBy>html-to-docx</cp:lastModifiedBy>
  <cp:revision>1</cp:revision>
  <dcterms:created xsi:type="dcterms:W3CDTF">2026-03-15T01:49:54.782Z</dcterms:created>
  <dcterms:modified xsi:type="dcterms:W3CDTF">2026-03-15T01:49:54.782Z</dcterms:modified>
</cp:coreProperties>
</file>